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spacing w:val="20"/>
          <w:sz w:val="32"/>
        </w:rPr>
      </w:pPr>
    </w:p>
    <w:p>
      <w:pPr>
        <w:jc w:val="center"/>
        <w:rPr>
          <w:rFonts w:ascii="微软雅黑" w:hAnsi="微软雅黑" w:eastAsia="微软雅黑"/>
          <w:b/>
          <w:spacing w:val="20"/>
          <w:sz w:val="44"/>
          <w:szCs w:val="44"/>
        </w:rPr>
      </w:pPr>
      <w:r>
        <w:rPr>
          <w:rFonts w:hint="eastAsia" w:ascii="微软雅黑" w:hAnsi="微软雅黑" w:eastAsia="微软雅黑"/>
          <w:b/>
          <w:spacing w:val="20"/>
          <w:sz w:val="44"/>
          <w:szCs w:val="44"/>
        </w:rPr>
        <w:t>基金会网上财务综合服务平台</w:t>
      </w:r>
    </w:p>
    <w:p>
      <w:pPr>
        <w:jc w:val="center"/>
        <w:rPr>
          <w:rFonts w:ascii="微软雅黑" w:hAnsi="微软雅黑" w:eastAsia="微软雅黑"/>
          <w:b/>
          <w:spacing w:val="20"/>
          <w:sz w:val="52"/>
          <w:szCs w:val="52"/>
        </w:rPr>
      </w:pPr>
      <w:r>
        <w:rPr>
          <w:rFonts w:ascii="微软雅黑" w:hAnsi="微软雅黑" w:eastAsia="微软雅黑"/>
          <w:b/>
          <w:spacing w:val="20"/>
          <w:sz w:val="44"/>
          <w:szCs w:val="44"/>
        </w:rPr>
        <w:t>操作手册</w:t>
      </w:r>
    </w:p>
    <w:p>
      <w:pPr>
        <w:widowControl/>
        <w:jc w:val="left"/>
        <w:rPr>
          <w:rFonts w:ascii="黑体" w:hAnsi="黑体" w:eastAsia="黑体"/>
          <w:sz w:val="32"/>
          <w:szCs w:val="32"/>
        </w:rPr>
      </w:pPr>
      <w:bookmarkStart w:id="0" w:name="_Toc533411699"/>
    </w:p>
    <w:p>
      <w:pPr>
        <w:widowControl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一、用户登录</w:t>
      </w:r>
      <w:bookmarkEnd w:id="0"/>
    </w:p>
    <w:p>
      <w:pPr>
        <w:ind w:firstLine="560" w:firstLineChars="200"/>
        <w:jc w:val="left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登录教育基金会官网，点击首页，在左下角进入“基金会网上财务综合服务平台”：</w:t>
      </w:r>
      <w:r>
        <w:rPr>
          <w:rFonts w:hint="eastAsia" w:ascii="仿宋_GB2312" w:hAnsi="微软雅黑" w:eastAsia="仿宋_GB2312"/>
          <w:sz w:val="28"/>
          <w:szCs w:val="28"/>
        </w:rPr>
        <w:t>http://222.198.115.28:8080/WFManager/login.jsp，输入用户名、密码进行登录系统 。</w:t>
      </w:r>
    </w:p>
    <w:p>
      <w:pPr>
        <w:ind w:firstLine="560" w:firstLineChars="200"/>
        <w:jc w:val="left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t>用户名</w:t>
      </w:r>
      <w:r>
        <w:rPr>
          <w:rFonts w:ascii="仿宋_GB2312" w:hAnsi="微软雅黑" w:eastAsia="仿宋_GB2312"/>
          <w:sz w:val="28"/>
          <w:szCs w:val="28"/>
        </w:rPr>
        <w:t>：</w:t>
      </w:r>
      <w:r>
        <w:rPr>
          <w:rFonts w:hint="eastAsia" w:ascii="仿宋_GB2312" w:hAnsi="微软雅黑" w:eastAsia="仿宋_GB2312"/>
          <w:sz w:val="28"/>
          <w:szCs w:val="28"/>
          <w:highlight w:val="yellow"/>
          <w:lang w:val="en-US" w:eastAsia="zh-CN"/>
        </w:rPr>
        <w:t>报销人</w:t>
      </w:r>
      <w:r>
        <w:rPr>
          <w:rFonts w:hint="eastAsia" w:ascii="仿宋_GB2312" w:hAnsi="微软雅黑" w:eastAsia="仿宋_GB2312"/>
          <w:sz w:val="28"/>
          <w:szCs w:val="28"/>
          <w:highlight w:val="yellow"/>
        </w:rPr>
        <w:t>的“职工号”</w:t>
      </w:r>
      <w:r>
        <w:rPr>
          <w:rFonts w:hint="eastAsia" w:ascii="仿宋_GB2312" w:hAnsi="微软雅黑" w:eastAsia="仿宋_GB2312"/>
          <w:sz w:val="28"/>
          <w:szCs w:val="28"/>
        </w:rPr>
        <w:t>；系统</w:t>
      </w:r>
      <w:r>
        <w:rPr>
          <w:rFonts w:ascii="仿宋_GB2312" w:hAnsi="微软雅黑" w:eastAsia="仿宋_GB2312"/>
          <w:sz w:val="28"/>
          <w:szCs w:val="28"/>
        </w:rPr>
        <w:t>默认密码</w:t>
      </w:r>
      <w:r>
        <w:rPr>
          <w:rFonts w:hint="eastAsia" w:ascii="仿宋_GB2312" w:hAnsi="微软雅黑" w:eastAsia="仿宋_GB2312"/>
          <w:sz w:val="28"/>
          <w:szCs w:val="28"/>
        </w:rPr>
        <w:t>：</w:t>
      </w:r>
      <w:r>
        <w:rPr>
          <w:rFonts w:hint="eastAsia" w:ascii="仿宋_GB2312" w:hAnsi="微软雅黑" w:eastAsia="仿宋_GB2312"/>
          <w:sz w:val="28"/>
          <w:szCs w:val="28"/>
          <w:lang w:val="en-US" w:eastAsia="zh-CN"/>
        </w:rPr>
        <w:t>报销人的</w:t>
      </w:r>
      <w:r>
        <w:rPr>
          <w:rFonts w:hint="eastAsia" w:ascii="仿宋_GB2312" w:hAnsi="微软雅黑" w:eastAsia="仿宋_GB2312"/>
          <w:sz w:val="28"/>
          <w:szCs w:val="28"/>
          <w:highlight w:val="yellow"/>
        </w:rPr>
        <w:t>“身份证后六位”</w:t>
      </w:r>
      <w:r>
        <w:rPr>
          <w:rFonts w:hint="eastAsia" w:ascii="仿宋_GB2312" w:hAnsi="微软雅黑" w:eastAsia="仿宋_GB2312"/>
          <w:sz w:val="28"/>
          <w:szCs w:val="28"/>
        </w:rPr>
        <w:t>（如</w:t>
      </w:r>
      <w:r>
        <w:rPr>
          <w:rFonts w:ascii="仿宋_GB2312" w:hAnsi="微软雅黑" w:eastAsia="仿宋_GB2312"/>
          <w:sz w:val="28"/>
          <w:szCs w:val="28"/>
        </w:rPr>
        <w:t>忘记密码可</w:t>
      </w:r>
      <w:r>
        <w:rPr>
          <w:rFonts w:hint="eastAsia" w:ascii="仿宋_GB2312" w:hAnsi="微软雅黑" w:eastAsia="仿宋_GB2312"/>
          <w:sz w:val="28"/>
          <w:szCs w:val="28"/>
        </w:rPr>
        <w:t>联系基金会相关人员重置密码，密码重置后请尽快修改密码，保证个人信息的安全。</w:t>
      </w:r>
    </w:p>
    <w:p>
      <w:pPr>
        <w:ind w:firstLine="420" w:firstLineChars="200"/>
        <w:jc w:val="left"/>
        <w:rPr>
          <w:rFonts w:ascii="仿宋_GB2312" w:hAnsi="微软雅黑" w:eastAsia="仿宋_GB2312"/>
          <w:sz w:val="28"/>
          <w:szCs w:val="28"/>
        </w:rPr>
      </w:pPr>
      <w:r>
        <w:drawing>
          <wp:inline distT="0" distB="0" distL="114300" distR="114300">
            <wp:extent cx="5683885" cy="3497580"/>
            <wp:effectExtent l="0" t="0" r="12065" b="762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jc w:val="center"/>
        <w:rPr>
          <w:rFonts w:ascii="仿宋_GB2312" w:hAnsi="微软雅黑"/>
          <w:sz w:val="28"/>
          <w:szCs w:val="28"/>
        </w:rPr>
      </w:pPr>
      <w:r>
        <w:rPr>
          <w:rFonts w:hint="eastAsia"/>
        </w:rPr>
        <w:t>图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图表 \* ARABIC</w:instrText>
      </w:r>
      <w:r>
        <w:instrText xml:space="preserve">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>基金会网上财务综合服务平台</w:t>
      </w:r>
      <w:r>
        <w:rPr>
          <w:rFonts w:hint="eastAsia"/>
          <w:highlight w:val="yellow"/>
        </w:rPr>
        <w:t>（网页左下角）</w:t>
      </w:r>
    </w:p>
    <w:p>
      <w:pPr>
        <w:jc w:val="center"/>
        <w:rPr>
          <w:rFonts w:ascii="仿宋_GB2312" w:hAnsi="微软雅黑" w:eastAsia="仿宋_GB2312"/>
          <w:sz w:val="28"/>
          <w:szCs w:val="28"/>
        </w:rPr>
      </w:pPr>
      <w:r>
        <w:drawing>
          <wp:inline distT="0" distB="0" distL="114300" distR="114300">
            <wp:extent cx="5681980" cy="3339465"/>
            <wp:effectExtent l="0" t="0" r="13970" b="133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98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jc w:val="center"/>
      </w:pPr>
      <w:r>
        <w:rPr>
          <w:rFonts w:hint="eastAsia"/>
        </w:rPr>
        <w:t>图2</w:t>
      </w:r>
      <w:r>
        <w:t xml:space="preserve"> 登录</w:t>
      </w:r>
      <w:r>
        <w:rPr>
          <w:rFonts w:hint="eastAsia"/>
        </w:rPr>
        <w:t>窗口</w:t>
      </w:r>
    </w:p>
    <w:p/>
    <w:p>
      <w:r>
        <w:drawing>
          <wp:inline distT="0" distB="0" distL="114300" distR="114300">
            <wp:extent cx="5677535" cy="2757170"/>
            <wp:effectExtent l="0" t="0" r="18415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jc w:val="center"/>
      </w:pPr>
      <w:r>
        <w:rPr>
          <w:rFonts w:hint="eastAsia"/>
        </w:rPr>
        <w:t>图3 系统界面</w:t>
      </w:r>
    </w:p>
    <w:p>
      <w:pPr>
        <w:ind w:firstLine="560" w:firstLineChars="200"/>
        <w:jc w:val="left"/>
        <w:rPr>
          <w:rFonts w:ascii="仿宋_GB2312" w:hAnsi="宋体" w:eastAsia="仿宋_GB2312"/>
          <w:sz w:val="28"/>
          <w:szCs w:val="28"/>
        </w:rPr>
      </w:pPr>
    </w:p>
    <w:p>
      <w:pPr>
        <w:ind w:firstLine="560" w:firstLineChars="200"/>
        <w:jc w:val="left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成功登录系统后</w:t>
      </w:r>
      <w:r>
        <w:rPr>
          <w:rFonts w:ascii="仿宋_GB2312" w:hAnsi="宋体" w:eastAsia="仿宋_GB2312"/>
          <w:sz w:val="28"/>
          <w:szCs w:val="28"/>
        </w:rPr>
        <w:t>可</w:t>
      </w:r>
      <w:r>
        <w:rPr>
          <w:rFonts w:hint="eastAsia" w:ascii="仿宋_GB2312" w:hAnsi="宋体" w:eastAsia="仿宋_GB2312"/>
          <w:sz w:val="28"/>
          <w:szCs w:val="28"/>
        </w:rPr>
        <w:t>进行</w:t>
      </w:r>
      <w:r>
        <w:rPr>
          <w:rFonts w:ascii="仿宋_GB2312" w:hAnsi="宋体" w:eastAsia="仿宋_GB2312"/>
          <w:sz w:val="28"/>
          <w:szCs w:val="28"/>
        </w:rPr>
        <w:t>各项操作</w:t>
      </w:r>
      <w:r>
        <w:rPr>
          <w:rFonts w:hint="eastAsia" w:ascii="仿宋_GB2312" w:hAnsi="宋体" w:eastAsia="仿宋_GB2312"/>
          <w:sz w:val="28"/>
          <w:szCs w:val="28"/>
        </w:rPr>
        <w:t>,包括网上财务查询、网上预约报账、网上项目授权</w:t>
      </w:r>
      <w:r>
        <w:rPr>
          <w:rFonts w:hint="eastAsia" w:ascii="仿宋_GB2312" w:hAnsi="宋体" w:eastAsia="仿宋_GB2312"/>
          <w:sz w:val="28"/>
          <w:szCs w:val="28"/>
          <w:lang w:val="en-US" w:eastAsia="zh-CN"/>
        </w:rPr>
        <w:t>(如需修改密码，点击图3右上角画红框的“修改密码”即可）</w:t>
      </w:r>
      <w:r>
        <w:rPr>
          <w:rFonts w:hint="eastAsia" w:ascii="仿宋_GB2312" w:hAnsi="宋体" w:eastAsia="仿宋_GB2312"/>
          <w:sz w:val="28"/>
          <w:szCs w:val="28"/>
        </w:rPr>
        <w:t>。</w:t>
      </w:r>
    </w:p>
    <w:p>
      <w:pPr>
        <w:jc w:val="left"/>
        <w:rPr>
          <w:rFonts w:ascii="仿宋_GB2312" w:hAnsi="微软雅黑" w:eastAsia="仿宋_GB2312"/>
          <w:sz w:val="28"/>
          <w:szCs w:val="28"/>
        </w:rPr>
      </w:pPr>
    </w:p>
    <w:p>
      <w:pPr>
        <w:pStyle w:val="2"/>
        <w:numPr>
          <w:ilvl w:val="0"/>
          <w:numId w:val="0"/>
        </w:num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二、网上财务查询</w:t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该模块主要是为了用户查询自己所负责的项目的明细情况：</w:t>
      </w:r>
    </w:p>
    <w:p>
      <w:pPr>
        <w:numPr>
          <w:ilvl w:val="0"/>
          <w:numId w:val="2"/>
        </w:num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 xml:space="preserve">  点击“网上财务查询”，进入项目查询，点击“项目成组查询”即出现下图（如未显示全部项目，请将“过滤全零项目”选为“否”）：</w:t>
      </w:r>
    </w:p>
    <w:p>
      <w:pPr>
        <w:ind w:firstLine="420" w:firstLineChars="200"/>
      </w:pPr>
      <w:r>
        <w:drawing>
          <wp:inline distT="0" distB="0" distL="114300" distR="114300">
            <wp:extent cx="5684520" cy="2568575"/>
            <wp:effectExtent l="0" t="0" r="1143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ind w:firstLine="420" w:firstLineChars="200"/>
        <w:jc w:val="center"/>
      </w:pPr>
      <w:r>
        <w:rPr>
          <w:rFonts w:hint="eastAsia"/>
        </w:rPr>
        <w:t>图4 项目查询界面</w:t>
      </w:r>
    </w:p>
    <w:p>
      <w:pPr>
        <w:ind w:firstLine="420" w:firstLineChars="200"/>
        <w:jc w:val="center"/>
      </w:pPr>
    </w:p>
    <w:p>
      <w:pPr>
        <w:ind w:firstLine="420" w:firstLineChars="200"/>
        <w:jc w:val="center"/>
      </w:pPr>
    </w:p>
    <w:p>
      <w:pPr>
        <w:ind w:firstLine="280" w:firstLineChars="1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1.1选择任意项目，点击“项目明细”，即可查询任意项目的具体运行情况（包括项目收支明细、预算执行、收支科目分类统计等）：</w:t>
      </w:r>
    </w:p>
    <w:p>
      <w:r>
        <w:drawing>
          <wp:inline distT="0" distB="0" distL="114300" distR="114300">
            <wp:extent cx="5684520" cy="2568575"/>
            <wp:effectExtent l="0" t="0" r="1143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</w:pPr>
      <w:r>
        <w:rPr>
          <w:rFonts w:hint="eastAsia"/>
        </w:rPr>
        <w:t>图5项目查询明细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1.2点击“未核销借款情况”，即可查询任意项目的借款、还款以及剩余借款的明细；</w:t>
      </w:r>
    </w:p>
    <w:p>
      <w:pPr>
        <w:numPr>
          <w:ilvl w:val="0"/>
          <w:numId w:val="2"/>
        </w:num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财务到款查询（此功能暂未开通）</w:t>
      </w:r>
    </w:p>
    <w:p>
      <w:pPr>
        <w:pStyle w:val="3"/>
        <w:numPr>
          <w:ilvl w:val="1"/>
          <w:numId w:val="0"/>
        </w:numPr>
      </w:pPr>
      <w:r>
        <w:rPr>
          <w:rFonts w:hint="eastAsia"/>
        </w:rPr>
        <w:t>三、网上预约报账</w:t>
      </w:r>
    </w:p>
    <w:p>
      <w:pPr>
        <w:ind w:firstLine="210" w:firstLineChars="100"/>
      </w:pPr>
      <w:r>
        <w:rPr>
          <w:rFonts w:hint="eastAsia"/>
        </w:rPr>
        <w:t>点击“网上预约报账”模块，进入如下页面：</w:t>
      </w:r>
    </w:p>
    <w:p>
      <w:pPr>
        <w:ind w:firstLine="420" w:firstLineChars="200"/>
      </w:pPr>
      <w:r>
        <w:drawing>
          <wp:inline distT="0" distB="0" distL="114300" distR="114300">
            <wp:extent cx="5683885" cy="2446020"/>
            <wp:effectExtent l="0" t="0" r="12065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eastAsiaTheme="minorEastAsia"/>
          <w:lang w:eastAsia="zh-CN"/>
        </w:rPr>
      </w:pPr>
      <w:r>
        <w:rPr>
          <w:rFonts w:hint="eastAsia"/>
        </w:rPr>
        <w:t xml:space="preserve">                             图6  网上预约报账</w:t>
      </w:r>
      <w:r>
        <w:rPr>
          <w:rFonts w:hint="eastAsia"/>
          <w:lang w:eastAsia="zh-CN"/>
        </w:rPr>
        <w:t>（按画红框的显示功能操作）</w:t>
      </w:r>
    </w:p>
    <w:p>
      <w:pPr>
        <w:ind w:firstLine="420" w:firstLineChars="200"/>
      </w:pPr>
    </w:p>
    <w:p>
      <w:pPr>
        <w:numPr>
          <w:ilvl w:val="0"/>
          <w:numId w:val="3"/>
        </w:num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点击“申请报销单”进行业务的报销，报销业务分为四大类分别为“日常报销业务、国内旅费业务、暂借款业务、因公出国”请根据实际报账需求选择相应大类，并在“单项目报销”项中选择所要进行报销的项目，其他按照操作流程提示进行，即可报账。预约成功后请将报销单打印并附上相关的票据，送至对外联络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办公室</w:t>
      </w:r>
      <w:r>
        <w:rPr>
          <w:rFonts w:hint="eastAsia" w:ascii="仿宋_GB2312" w:eastAsia="仿宋_GB2312"/>
          <w:sz w:val="28"/>
          <w:szCs w:val="28"/>
        </w:rPr>
        <w:t>305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室</w:t>
      </w:r>
      <w:bookmarkStart w:id="1" w:name="_GoBack"/>
      <w:bookmarkEnd w:id="1"/>
      <w:r>
        <w:rPr>
          <w:rFonts w:hint="eastAsia" w:ascii="仿宋_GB2312" w:eastAsia="仿宋_GB2312"/>
          <w:sz w:val="28"/>
          <w:szCs w:val="28"/>
        </w:rPr>
        <w:t>，即可报销。</w:t>
      </w:r>
    </w:p>
    <w:p>
      <w:pPr>
        <w:numPr>
          <w:ilvl w:val="0"/>
          <w:numId w:val="3"/>
        </w:num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电子发票暂不进行真伪查验，报销人在保证发票真实性的情况下，可在“增值税发票查验”模块右侧窗口填写发票相关信息。</w:t>
      </w:r>
    </w:p>
    <w:p>
      <w:pPr>
        <w:numPr>
          <w:ilvl w:val="0"/>
          <w:numId w:val="3"/>
        </w:num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如需对已预约报销单进行修改、撤销及相关具体信息的查询，可在图5下方选择相应选项进行操作。</w:t>
      </w:r>
    </w:p>
    <w:p>
      <w:pPr>
        <w:rPr>
          <w:rFonts w:ascii="仿宋_GB2312" w:eastAsia="仿宋_GB2312"/>
          <w:sz w:val="28"/>
          <w:szCs w:val="28"/>
        </w:rPr>
      </w:pPr>
    </w:p>
    <w:p>
      <w:pPr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四、网上项目授权</w:t>
      </w:r>
    </w:p>
    <w:p>
      <w:pPr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点击“网上项目授权”即可进入如下界面：</w:t>
      </w:r>
    </w:p>
    <w:p>
      <w:pPr>
        <w:jc w:val="left"/>
        <w:rPr>
          <w:rFonts w:ascii="仿宋_GB2312" w:eastAsia="仿宋_GB2312"/>
          <w:sz w:val="28"/>
          <w:szCs w:val="28"/>
        </w:rPr>
      </w:pPr>
      <w:r>
        <w:drawing>
          <wp:inline distT="0" distB="0" distL="114300" distR="114300">
            <wp:extent cx="5673725" cy="2476500"/>
            <wp:effectExtent l="0" t="0" r="3175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37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</w:rPr>
        <w:t xml:space="preserve">                       </w:t>
      </w:r>
      <w:r>
        <w:rPr>
          <w:rFonts w:hint="eastAsia"/>
        </w:rPr>
        <w:t>图7  网上项目授权</w:t>
      </w:r>
      <w:r>
        <w:rPr>
          <w:rFonts w:hint="eastAsia"/>
          <w:lang w:eastAsia="zh-CN"/>
        </w:rPr>
        <w:t>（按画红框的显示功能操作）</w:t>
      </w:r>
    </w:p>
    <w:p>
      <w:pPr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1、“授权管理员”：管理员角色既可以进行报账，也可以对经办人进行再授权，帮助项目负责人进行项目管理工作。</w:t>
      </w:r>
    </w:p>
    <w:p>
      <w:pPr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 xml:space="preserve">  “授权无限额经办人”：为该项目的固定报销经办人。经办人经项目负责人授权后，即可进行报账处理。</w:t>
      </w:r>
    </w:p>
    <w:p>
      <w:pPr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 xml:space="preserve">  “授权项目查询权限”：在该选项被授予权限的职工仅可查询被授权项目的收支运行情况。</w:t>
      </w:r>
    </w:p>
    <w:p>
      <w:pPr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 xml:space="preserve">   “设置优先级”：可对项目出现进行先后排序。</w:t>
      </w:r>
    </w:p>
    <w:p>
      <w:pPr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 xml:space="preserve"> 2、授权无限额经办人示例</w:t>
      </w:r>
    </w:p>
    <w:p>
      <w:pPr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（1）选中所需授权的项目，点击“授权无限额经办人”进入如下页面。</w:t>
      </w:r>
    </w:p>
    <w:p>
      <w:pPr>
        <w:jc w:val="left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5486400" cy="2468880"/>
            <wp:effectExtent l="0" t="0" r="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 w:ascii="仿宋_GB2312" w:eastAsia="仿宋_GB2312"/>
          <w:sz w:val="28"/>
          <w:szCs w:val="28"/>
        </w:rPr>
        <w:t xml:space="preserve">                   </w:t>
      </w:r>
      <w:r>
        <w:rPr>
          <w:rFonts w:hint="eastAsia"/>
        </w:rPr>
        <w:t xml:space="preserve"> 图8   授权无限额经办人</w:t>
      </w:r>
    </w:p>
    <w:p>
      <w:pPr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（2）点击左下角“添加无限额经办人”选项</w:t>
      </w:r>
    </w:p>
    <w:p>
      <w:pPr>
        <w:jc w:val="left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5486400" cy="2511425"/>
            <wp:effectExtent l="0" t="0" r="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8"/>
        <w:numPr>
          <w:ilvl w:val="0"/>
          <w:numId w:val="3"/>
        </w:numPr>
        <w:ind w:firstLineChars="0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输入职工号，点击确认，即授权成功。</w:t>
      </w: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5688330" cy="1905635"/>
            <wp:effectExtent l="0" t="0" r="7620" b="18415"/>
            <wp:docPr id="22" name="图片 22" descr="E:\LT\财务软件\}LO}D]OLO8F{GR[8_6K)58G_meitu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:\LT\财务软件\}LO}D]OLO8F{GR[8_6K)58G_meitu_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8"/>
        <w:numPr>
          <w:ilvl w:val="0"/>
          <w:numId w:val="3"/>
        </w:numPr>
        <w:ind w:firstLineChars="0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若需要对经办人进行撤销，选中需要撤销的经办人，点击“撤销授权”项，</w:t>
      </w:r>
      <w:r>
        <w:drawing>
          <wp:inline distT="0" distB="0" distL="0" distR="0">
            <wp:extent cx="5486400" cy="2472055"/>
            <wp:effectExtent l="0" t="0" r="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8"/>
        <w:numPr>
          <w:ilvl w:val="0"/>
          <w:numId w:val="3"/>
        </w:numPr>
        <w:ind w:firstLineChars="0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点击“继续”，即成功对该经办人撤销经办权限。</w:t>
      </w:r>
    </w:p>
    <w:p>
      <w:pPr>
        <w:ind w:left="420" w:leftChars="200"/>
        <w:rPr>
          <w:rFonts w:ascii="仿宋_GB2312" w:eastAsia="仿宋_GB2312"/>
          <w:sz w:val="28"/>
          <w:szCs w:val="28"/>
          <w:highlight w:val="yellow"/>
        </w:rPr>
      </w:pPr>
    </w:p>
    <w:sectPr>
      <w:headerReference r:id="rId3" w:type="default"/>
      <w:footerReference r:id="rId4" w:type="default"/>
      <w:pgSz w:w="11906" w:h="16838"/>
      <w:pgMar w:top="1440" w:right="1474" w:bottom="1440" w:left="1474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56367385"/>
    </w:sdtPr>
    <w:sdtContent>
      <w:p>
        <w:pPr>
          <w:pStyle w:val="2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>
    <w:pPr>
      <w:pStyle w:val="2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64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256090"/>
    <w:multiLevelType w:val="singleLevel"/>
    <w:tmpl w:val="CB256090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00000001"/>
    <w:multiLevelType w:val="multilevel"/>
    <w:tmpl w:val="00000001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ind w:left="1145" w:hanging="720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  <w:rPr>
        <w:rFonts w:hint="eastAsia"/>
        <w:sz w:val="24"/>
        <w:szCs w:val="24"/>
      </w:r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2">
    <w:nsid w:val="30904C3E"/>
    <w:multiLevelType w:val="singleLevel"/>
    <w:tmpl w:val="30904C3E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6720E"/>
    <w:rsid w:val="00003321"/>
    <w:rsid w:val="000419EE"/>
    <w:rsid w:val="00057E77"/>
    <w:rsid w:val="00061E35"/>
    <w:rsid w:val="00076CB7"/>
    <w:rsid w:val="0009042E"/>
    <w:rsid w:val="0009655D"/>
    <w:rsid w:val="000A78FE"/>
    <w:rsid w:val="000B61B4"/>
    <w:rsid w:val="000C3D4F"/>
    <w:rsid w:val="000D1277"/>
    <w:rsid w:val="000D330D"/>
    <w:rsid w:val="000D4281"/>
    <w:rsid w:val="000E24D8"/>
    <w:rsid w:val="00102E23"/>
    <w:rsid w:val="00107E25"/>
    <w:rsid w:val="00115FE5"/>
    <w:rsid w:val="00125FE6"/>
    <w:rsid w:val="00127B18"/>
    <w:rsid w:val="00140041"/>
    <w:rsid w:val="001755C9"/>
    <w:rsid w:val="00185DC4"/>
    <w:rsid w:val="001B0CBD"/>
    <w:rsid w:val="001D0C69"/>
    <w:rsid w:val="001E192B"/>
    <w:rsid w:val="001F2E85"/>
    <w:rsid w:val="00216944"/>
    <w:rsid w:val="0022530A"/>
    <w:rsid w:val="002565EB"/>
    <w:rsid w:val="002667DC"/>
    <w:rsid w:val="00276D3C"/>
    <w:rsid w:val="00292624"/>
    <w:rsid w:val="002A24E3"/>
    <w:rsid w:val="002A6C24"/>
    <w:rsid w:val="002C4E40"/>
    <w:rsid w:val="002D0D88"/>
    <w:rsid w:val="002D4E8B"/>
    <w:rsid w:val="00312502"/>
    <w:rsid w:val="0033101E"/>
    <w:rsid w:val="00360749"/>
    <w:rsid w:val="003650DC"/>
    <w:rsid w:val="00370C5D"/>
    <w:rsid w:val="00383D28"/>
    <w:rsid w:val="00384C54"/>
    <w:rsid w:val="003C0954"/>
    <w:rsid w:val="003C110F"/>
    <w:rsid w:val="003E757D"/>
    <w:rsid w:val="00405D00"/>
    <w:rsid w:val="004246AC"/>
    <w:rsid w:val="00435BCF"/>
    <w:rsid w:val="004532F9"/>
    <w:rsid w:val="00462A9C"/>
    <w:rsid w:val="00466E0B"/>
    <w:rsid w:val="0046720E"/>
    <w:rsid w:val="004B70FD"/>
    <w:rsid w:val="004C3D0B"/>
    <w:rsid w:val="004D24E3"/>
    <w:rsid w:val="0050341A"/>
    <w:rsid w:val="00512FBC"/>
    <w:rsid w:val="005359F5"/>
    <w:rsid w:val="00566812"/>
    <w:rsid w:val="00567F61"/>
    <w:rsid w:val="00572874"/>
    <w:rsid w:val="00574A45"/>
    <w:rsid w:val="005D6F3A"/>
    <w:rsid w:val="005E702D"/>
    <w:rsid w:val="006008F7"/>
    <w:rsid w:val="00616EF9"/>
    <w:rsid w:val="006170DA"/>
    <w:rsid w:val="00623FA6"/>
    <w:rsid w:val="006276B5"/>
    <w:rsid w:val="006278C5"/>
    <w:rsid w:val="00641E8C"/>
    <w:rsid w:val="006464B1"/>
    <w:rsid w:val="006537FB"/>
    <w:rsid w:val="00666180"/>
    <w:rsid w:val="006677D8"/>
    <w:rsid w:val="00680B62"/>
    <w:rsid w:val="006A003B"/>
    <w:rsid w:val="006B5123"/>
    <w:rsid w:val="006D5DD0"/>
    <w:rsid w:val="006E4395"/>
    <w:rsid w:val="006E55A9"/>
    <w:rsid w:val="006F22DE"/>
    <w:rsid w:val="007032AC"/>
    <w:rsid w:val="0071194E"/>
    <w:rsid w:val="0071630D"/>
    <w:rsid w:val="007408A6"/>
    <w:rsid w:val="0074354D"/>
    <w:rsid w:val="00747C20"/>
    <w:rsid w:val="0075668E"/>
    <w:rsid w:val="00763F38"/>
    <w:rsid w:val="00764ADA"/>
    <w:rsid w:val="00770635"/>
    <w:rsid w:val="00783891"/>
    <w:rsid w:val="00785051"/>
    <w:rsid w:val="00787E43"/>
    <w:rsid w:val="007917CF"/>
    <w:rsid w:val="00792B26"/>
    <w:rsid w:val="007A0208"/>
    <w:rsid w:val="007B495C"/>
    <w:rsid w:val="007C20EF"/>
    <w:rsid w:val="007C324C"/>
    <w:rsid w:val="007D74DD"/>
    <w:rsid w:val="007F2A2E"/>
    <w:rsid w:val="007F7F0F"/>
    <w:rsid w:val="00824962"/>
    <w:rsid w:val="00832A1C"/>
    <w:rsid w:val="008651DB"/>
    <w:rsid w:val="00876725"/>
    <w:rsid w:val="008A4B55"/>
    <w:rsid w:val="008A7F7F"/>
    <w:rsid w:val="008C699F"/>
    <w:rsid w:val="008D52BE"/>
    <w:rsid w:val="00907801"/>
    <w:rsid w:val="00917A21"/>
    <w:rsid w:val="00934BF5"/>
    <w:rsid w:val="009C2AC7"/>
    <w:rsid w:val="009D08D9"/>
    <w:rsid w:val="009E4990"/>
    <w:rsid w:val="009F102F"/>
    <w:rsid w:val="009F1D8E"/>
    <w:rsid w:val="00A14B5A"/>
    <w:rsid w:val="00A3230F"/>
    <w:rsid w:val="00A33146"/>
    <w:rsid w:val="00A41809"/>
    <w:rsid w:val="00A47C18"/>
    <w:rsid w:val="00A52DC0"/>
    <w:rsid w:val="00A744E1"/>
    <w:rsid w:val="00A810DC"/>
    <w:rsid w:val="00A83402"/>
    <w:rsid w:val="00A84446"/>
    <w:rsid w:val="00A90BD2"/>
    <w:rsid w:val="00AB005E"/>
    <w:rsid w:val="00AB04ED"/>
    <w:rsid w:val="00B02A27"/>
    <w:rsid w:val="00B22FFF"/>
    <w:rsid w:val="00B2648C"/>
    <w:rsid w:val="00B26F93"/>
    <w:rsid w:val="00B33254"/>
    <w:rsid w:val="00B53B18"/>
    <w:rsid w:val="00B57258"/>
    <w:rsid w:val="00B6174C"/>
    <w:rsid w:val="00B85AB1"/>
    <w:rsid w:val="00B87403"/>
    <w:rsid w:val="00BC6E62"/>
    <w:rsid w:val="00BD3231"/>
    <w:rsid w:val="00BD7C11"/>
    <w:rsid w:val="00C069F5"/>
    <w:rsid w:val="00C06AEF"/>
    <w:rsid w:val="00C221B0"/>
    <w:rsid w:val="00C25781"/>
    <w:rsid w:val="00C312A9"/>
    <w:rsid w:val="00C50AB5"/>
    <w:rsid w:val="00C579FA"/>
    <w:rsid w:val="00C63049"/>
    <w:rsid w:val="00C742DA"/>
    <w:rsid w:val="00C80161"/>
    <w:rsid w:val="00CC00A5"/>
    <w:rsid w:val="00CD3C62"/>
    <w:rsid w:val="00CE38B2"/>
    <w:rsid w:val="00CF1870"/>
    <w:rsid w:val="00D60C3C"/>
    <w:rsid w:val="00D7476F"/>
    <w:rsid w:val="00D76D89"/>
    <w:rsid w:val="00D8395B"/>
    <w:rsid w:val="00D84B98"/>
    <w:rsid w:val="00D855D8"/>
    <w:rsid w:val="00D9402A"/>
    <w:rsid w:val="00D94D9F"/>
    <w:rsid w:val="00D979E7"/>
    <w:rsid w:val="00DA0502"/>
    <w:rsid w:val="00DB6003"/>
    <w:rsid w:val="00DC0220"/>
    <w:rsid w:val="00DC1A4C"/>
    <w:rsid w:val="00DC4F30"/>
    <w:rsid w:val="00DD098D"/>
    <w:rsid w:val="00DF1ED6"/>
    <w:rsid w:val="00E64FB2"/>
    <w:rsid w:val="00E7399A"/>
    <w:rsid w:val="00EB1AAB"/>
    <w:rsid w:val="00EB3340"/>
    <w:rsid w:val="00ED32CE"/>
    <w:rsid w:val="00EF3A2B"/>
    <w:rsid w:val="00F10A6C"/>
    <w:rsid w:val="00F14BB4"/>
    <w:rsid w:val="00F32EE3"/>
    <w:rsid w:val="00F55879"/>
    <w:rsid w:val="00F9001D"/>
    <w:rsid w:val="00FA52DF"/>
    <w:rsid w:val="00FD26BB"/>
    <w:rsid w:val="00FD793F"/>
    <w:rsid w:val="00FE1DFC"/>
    <w:rsid w:val="00FF00B6"/>
    <w:rsid w:val="027147C4"/>
    <w:rsid w:val="0AF14FD5"/>
    <w:rsid w:val="18E14CFF"/>
    <w:rsid w:val="24EC10FF"/>
    <w:rsid w:val="3B2636F3"/>
    <w:rsid w:val="3BF067AE"/>
    <w:rsid w:val="47C86071"/>
    <w:rsid w:val="4DCB51DC"/>
    <w:rsid w:val="5C5D0EFE"/>
    <w:rsid w:val="7F1E7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9" w:semiHidden="0" w:name="heading 7"/>
    <w:lsdException w:qFormat="1" w:unhideWhenUsed="0" w:uiPriority="9" w:semiHidden="0" w:name="heading 8"/>
    <w:lsdException w:qFormat="1" w:unhideWhenUsed="0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name="toc 4"/>
    <w:lsdException w:qFormat="1" w:uiPriority="39" w:name="toc 5"/>
    <w:lsdException w:qFormat="1" w:uiPriority="39" w:name="toc 6"/>
    <w:lsdException w:qFormat="1" w:uiPriority="39" w:name="toc 7"/>
    <w:lsdException w:qFormat="1" w:uiPriority="39" w:name="toc 8"/>
    <w:lsdException w:qFormat="1"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0"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42"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ind w:left="72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43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44"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46"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48"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51"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52"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semiHidden/>
    <w:unhideWhenUsed/>
    <w:qFormat/>
    <w:uiPriority w:val="39"/>
    <w:pPr>
      <w:ind w:left="1260"/>
      <w:jc w:val="left"/>
    </w:pPr>
    <w:rPr>
      <w:sz w:val="20"/>
      <w:szCs w:val="20"/>
    </w:rPr>
  </w:style>
  <w:style w:type="paragraph" w:styleId="12">
    <w:name w:val="caption"/>
    <w:basedOn w:val="1"/>
    <w:next w:val="1"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13">
    <w:name w:val="Document Map"/>
    <w:basedOn w:val="1"/>
    <w:link w:val="56"/>
    <w:semiHidden/>
    <w:unhideWhenUsed/>
    <w:qFormat/>
    <w:uiPriority w:val="99"/>
    <w:rPr>
      <w:rFonts w:ascii="Times New Roman" w:hAnsi="Times New Roman" w:cs="Times New Roman"/>
      <w:sz w:val="24"/>
      <w:szCs w:val="24"/>
    </w:rPr>
  </w:style>
  <w:style w:type="paragraph" w:styleId="14">
    <w:name w:val="annotation text"/>
    <w:basedOn w:val="1"/>
    <w:link w:val="54"/>
    <w:semiHidden/>
    <w:unhideWhenUsed/>
    <w:qFormat/>
    <w:uiPriority w:val="99"/>
    <w:pPr>
      <w:jc w:val="left"/>
    </w:pPr>
  </w:style>
  <w:style w:type="paragraph" w:styleId="15">
    <w:name w:val="toc 5"/>
    <w:basedOn w:val="1"/>
    <w:next w:val="1"/>
    <w:semiHidden/>
    <w:unhideWhenUsed/>
    <w:qFormat/>
    <w:uiPriority w:val="39"/>
    <w:pPr>
      <w:ind w:left="840"/>
      <w:jc w:val="left"/>
    </w:pPr>
    <w:rPr>
      <w:sz w:val="20"/>
      <w:szCs w:val="20"/>
    </w:rPr>
  </w:style>
  <w:style w:type="paragraph" w:styleId="16">
    <w:name w:val="toc 3"/>
    <w:basedOn w:val="1"/>
    <w:next w:val="1"/>
    <w:qFormat/>
    <w:uiPriority w:val="39"/>
    <w:pPr>
      <w:ind w:left="420"/>
      <w:jc w:val="left"/>
    </w:pPr>
    <w:rPr>
      <w:sz w:val="22"/>
    </w:rPr>
  </w:style>
  <w:style w:type="paragraph" w:styleId="17">
    <w:name w:val="toc 8"/>
    <w:basedOn w:val="1"/>
    <w:next w:val="1"/>
    <w:semiHidden/>
    <w:unhideWhenUsed/>
    <w:qFormat/>
    <w:uiPriority w:val="39"/>
    <w:pPr>
      <w:ind w:left="1470"/>
      <w:jc w:val="left"/>
    </w:pPr>
    <w:rPr>
      <w:sz w:val="20"/>
      <w:szCs w:val="20"/>
    </w:rPr>
  </w:style>
  <w:style w:type="paragraph" w:styleId="18">
    <w:name w:val="Date"/>
    <w:basedOn w:val="1"/>
    <w:next w:val="1"/>
    <w:link w:val="45"/>
    <w:qFormat/>
    <w:uiPriority w:val="99"/>
    <w:pPr>
      <w:ind w:left="100" w:leftChars="2500"/>
    </w:pPr>
  </w:style>
  <w:style w:type="paragraph" w:styleId="19">
    <w:name w:val="Balloon Text"/>
    <w:basedOn w:val="1"/>
    <w:link w:val="41"/>
    <w:qFormat/>
    <w:uiPriority w:val="99"/>
    <w:rPr>
      <w:sz w:val="18"/>
      <w:szCs w:val="18"/>
    </w:rPr>
  </w:style>
  <w:style w:type="paragraph" w:styleId="20">
    <w:name w:val="footer"/>
    <w:basedOn w:val="1"/>
    <w:link w:val="3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1">
    <w:name w:val="header"/>
    <w:basedOn w:val="1"/>
    <w:link w:val="35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2">
    <w:name w:val="toc 1"/>
    <w:basedOn w:val="1"/>
    <w:next w:val="1"/>
    <w:qFormat/>
    <w:uiPriority w:val="39"/>
    <w:pPr>
      <w:spacing w:before="120"/>
      <w:jc w:val="left"/>
    </w:pPr>
    <w:rPr>
      <w:b/>
      <w:bCs/>
      <w:sz w:val="24"/>
      <w:szCs w:val="24"/>
    </w:rPr>
  </w:style>
  <w:style w:type="paragraph" w:styleId="23">
    <w:name w:val="toc 4"/>
    <w:basedOn w:val="1"/>
    <w:next w:val="1"/>
    <w:semiHidden/>
    <w:unhideWhenUsed/>
    <w:qFormat/>
    <w:uiPriority w:val="39"/>
    <w:pPr>
      <w:ind w:left="630"/>
      <w:jc w:val="left"/>
    </w:pPr>
    <w:rPr>
      <w:sz w:val="20"/>
      <w:szCs w:val="20"/>
    </w:rPr>
  </w:style>
  <w:style w:type="paragraph" w:styleId="24">
    <w:name w:val="toc 6"/>
    <w:basedOn w:val="1"/>
    <w:next w:val="1"/>
    <w:semiHidden/>
    <w:unhideWhenUsed/>
    <w:qFormat/>
    <w:uiPriority w:val="39"/>
    <w:pPr>
      <w:ind w:left="1050"/>
      <w:jc w:val="left"/>
    </w:pPr>
    <w:rPr>
      <w:sz w:val="20"/>
      <w:szCs w:val="20"/>
    </w:rPr>
  </w:style>
  <w:style w:type="paragraph" w:styleId="25">
    <w:name w:val="toc 2"/>
    <w:basedOn w:val="1"/>
    <w:next w:val="1"/>
    <w:qFormat/>
    <w:uiPriority w:val="39"/>
    <w:pPr>
      <w:ind w:left="210"/>
      <w:jc w:val="left"/>
    </w:pPr>
    <w:rPr>
      <w:b/>
      <w:bCs/>
      <w:sz w:val="22"/>
    </w:rPr>
  </w:style>
  <w:style w:type="paragraph" w:styleId="26">
    <w:name w:val="toc 9"/>
    <w:basedOn w:val="1"/>
    <w:next w:val="1"/>
    <w:semiHidden/>
    <w:unhideWhenUsed/>
    <w:qFormat/>
    <w:uiPriority w:val="39"/>
    <w:pPr>
      <w:ind w:left="1680"/>
      <w:jc w:val="left"/>
    </w:pPr>
    <w:rPr>
      <w:sz w:val="20"/>
      <w:szCs w:val="20"/>
    </w:rPr>
  </w:style>
  <w:style w:type="paragraph" w:styleId="27">
    <w:name w:val="Normal (Web)"/>
    <w:basedOn w:val="1"/>
    <w:link w:val="49"/>
    <w:qFormat/>
    <w:uiPriority w:val="99"/>
    <w:rPr>
      <w:rFonts w:ascii="Times New Roman" w:hAnsi="Times New Roman" w:cs="Times New Roman"/>
      <w:sz w:val="24"/>
      <w:szCs w:val="24"/>
    </w:rPr>
  </w:style>
  <w:style w:type="paragraph" w:styleId="28">
    <w:name w:val="annotation subject"/>
    <w:basedOn w:val="14"/>
    <w:next w:val="14"/>
    <w:link w:val="55"/>
    <w:semiHidden/>
    <w:unhideWhenUsed/>
    <w:uiPriority w:val="99"/>
    <w:rPr>
      <w:b/>
      <w:bCs/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2">
    <w:name w:val="Strong"/>
    <w:qFormat/>
    <w:uiPriority w:val="0"/>
    <w:rPr>
      <w:b/>
      <w:bCs/>
      <w:sz w:val="18"/>
      <w:szCs w:val="18"/>
    </w:rPr>
  </w:style>
  <w:style w:type="character" w:styleId="33">
    <w:name w:val="Hyperlink"/>
    <w:basedOn w:val="31"/>
    <w:qFormat/>
    <w:uiPriority w:val="99"/>
    <w:rPr>
      <w:color w:val="0563C1"/>
      <w:u w:val="single"/>
    </w:rPr>
  </w:style>
  <w:style w:type="character" w:styleId="34">
    <w:name w:val="annotation reference"/>
    <w:basedOn w:val="31"/>
    <w:semiHidden/>
    <w:unhideWhenUsed/>
    <w:qFormat/>
    <w:uiPriority w:val="99"/>
    <w:rPr>
      <w:sz w:val="21"/>
      <w:szCs w:val="21"/>
    </w:rPr>
  </w:style>
  <w:style w:type="character" w:customStyle="1" w:styleId="35">
    <w:name w:val="页眉 Char"/>
    <w:basedOn w:val="31"/>
    <w:link w:val="21"/>
    <w:qFormat/>
    <w:uiPriority w:val="99"/>
    <w:rPr>
      <w:sz w:val="18"/>
      <w:szCs w:val="18"/>
    </w:rPr>
  </w:style>
  <w:style w:type="character" w:customStyle="1" w:styleId="36">
    <w:name w:val="页脚 Char"/>
    <w:basedOn w:val="31"/>
    <w:link w:val="20"/>
    <w:qFormat/>
    <w:uiPriority w:val="99"/>
    <w:rPr>
      <w:sz w:val="18"/>
      <w:szCs w:val="18"/>
    </w:rPr>
  </w:style>
  <w:style w:type="character" w:customStyle="1" w:styleId="37">
    <w:name w:val="zwb"/>
    <w:basedOn w:val="31"/>
    <w:qFormat/>
    <w:uiPriority w:val="0"/>
  </w:style>
  <w:style w:type="paragraph" w:styleId="38">
    <w:name w:val="List Paragraph"/>
    <w:basedOn w:val="1"/>
    <w:qFormat/>
    <w:uiPriority w:val="34"/>
    <w:pPr>
      <w:ind w:firstLine="420" w:firstLineChars="200"/>
    </w:pPr>
  </w:style>
  <w:style w:type="character" w:customStyle="1" w:styleId="39">
    <w:name w:val="标题 1 Char"/>
    <w:basedOn w:val="3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40">
    <w:name w:val="标题 2 Char"/>
    <w:basedOn w:val="3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41">
    <w:name w:val="批注框文本 Char"/>
    <w:basedOn w:val="31"/>
    <w:link w:val="19"/>
    <w:qFormat/>
    <w:uiPriority w:val="99"/>
    <w:rPr>
      <w:sz w:val="18"/>
      <w:szCs w:val="18"/>
    </w:rPr>
  </w:style>
  <w:style w:type="character" w:customStyle="1" w:styleId="42">
    <w:name w:val="标题 3 Char"/>
    <w:basedOn w:val="31"/>
    <w:link w:val="4"/>
    <w:qFormat/>
    <w:uiPriority w:val="9"/>
    <w:rPr>
      <w:b/>
      <w:bCs/>
      <w:sz w:val="32"/>
      <w:szCs w:val="32"/>
    </w:rPr>
  </w:style>
  <w:style w:type="character" w:customStyle="1" w:styleId="43">
    <w:name w:val="标题 4 Char"/>
    <w:basedOn w:val="31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44">
    <w:name w:val="标题 5 Char"/>
    <w:basedOn w:val="31"/>
    <w:link w:val="6"/>
    <w:qFormat/>
    <w:uiPriority w:val="9"/>
    <w:rPr>
      <w:b/>
      <w:bCs/>
      <w:sz w:val="28"/>
      <w:szCs w:val="28"/>
    </w:rPr>
  </w:style>
  <w:style w:type="character" w:customStyle="1" w:styleId="45">
    <w:name w:val="日期 Char"/>
    <w:basedOn w:val="31"/>
    <w:link w:val="18"/>
    <w:qFormat/>
    <w:uiPriority w:val="99"/>
  </w:style>
  <w:style w:type="character" w:customStyle="1" w:styleId="46">
    <w:name w:val="标题 6 Char"/>
    <w:basedOn w:val="31"/>
    <w:link w:val="7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paragraph" w:customStyle="1" w:styleId="47">
    <w:name w:val="章标题"/>
    <w:basedOn w:val="27"/>
    <w:link w:val="50"/>
    <w:qFormat/>
    <w:uiPriority w:val="0"/>
    <w:pPr>
      <w:jc w:val="left"/>
    </w:pPr>
    <w:rPr>
      <w:rFonts w:ascii="微软雅黑" w:hAnsi="微软雅黑" w:eastAsia="微软雅黑"/>
      <w:sz w:val="28"/>
    </w:rPr>
  </w:style>
  <w:style w:type="character" w:customStyle="1" w:styleId="48">
    <w:name w:val="标题 7 Char"/>
    <w:basedOn w:val="31"/>
    <w:link w:val="8"/>
    <w:qFormat/>
    <w:uiPriority w:val="9"/>
    <w:rPr>
      <w:b/>
      <w:bCs/>
      <w:sz w:val="24"/>
      <w:szCs w:val="24"/>
    </w:rPr>
  </w:style>
  <w:style w:type="character" w:customStyle="1" w:styleId="49">
    <w:name w:val="普通(网站) Char"/>
    <w:basedOn w:val="31"/>
    <w:link w:val="27"/>
    <w:qFormat/>
    <w:uiPriority w:val="99"/>
    <w:rPr>
      <w:rFonts w:ascii="Times New Roman" w:hAnsi="Times New Roman" w:cs="Times New Roman"/>
      <w:sz w:val="24"/>
      <w:szCs w:val="24"/>
    </w:rPr>
  </w:style>
  <w:style w:type="character" w:customStyle="1" w:styleId="50">
    <w:name w:val="章标题 Char"/>
    <w:basedOn w:val="49"/>
    <w:link w:val="47"/>
    <w:qFormat/>
    <w:uiPriority w:val="0"/>
    <w:rPr>
      <w:rFonts w:ascii="微软雅黑" w:hAnsi="微软雅黑" w:eastAsia="微软雅黑" w:cs="Times New Roman"/>
      <w:sz w:val="28"/>
      <w:szCs w:val="24"/>
    </w:rPr>
  </w:style>
  <w:style w:type="character" w:customStyle="1" w:styleId="51">
    <w:name w:val="标题 8 Char"/>
    <w:basedOn w:val="31"/>
    <w:link w:val="9"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52">
    <w:name w:val="标题 9 Char"/>
    <w:basedOn w:val="31"/>
    <w:link w:val="10"/>
    <w:qFormat/>
    <w:uiPriority w:val="9"/>
    <w:rPr>
      <w:rFonts w:asciiTheme="majorHAnsi" w:hAnsiTheme="majorHAnsi" w:eastAsiaTheme="majorEastAsia" w:cstheme="majorBidi"/>
      <w:szCs w:val="21"/>
    </w:rPr>
  </w:style>
  <w:style w:type="paragraph" w:customStyle="1" w:styleId="53">
    <w:name w:val="TOC 标题1"/>
    <w:basedOn w:val="2"/>
    <w:next w:val="1"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4B5"/>
      <w:kern w:val="0"/>
      <w:sz w:val="32"/>
      <w:szCs w:val="32"/>
    </w:rPr>
  </w:style>
  <w:style w:type="character" w:customStyle="1" w:styleId="54">
    <w:name w:val="批注文字 Char"/>
    <w:basedOn w:val="31"/>
    <w:link w:val="14"/>
    <w:semiHidden/>
    <w:qFormat/>
    <w:uiPriority w:val="99"/>
  </w:style>
  <w:style w:type="character" w:customStyle="1" w:styleId="55">
    <w:name w:val="批注主题 Char"/>
    <w:basedOn w:val="54"/>
    <w:link w:val="28"/>
    <w:semiHidden/>
    <w:qFormat/>
    <w:uiPriority w:val="99"/>
    <w:rPr>
      <w:b/>
      <w:bCs/>
    </w:rPr>
  </w:style>
  <w:style w:type="character" w:customStyle="1" w:styleId="56">
    <w:name w:val="文档结构图 Char"/>
    <w:basedOn w:val="31"/>
    <w:link w:val="13"/>
    <w:semiHidden/>
    <w:qFormat/>
    <w:uiPriority w:val="99"/>
    <w:rPr>
      <w:rFonts w:ascii="Times New Roman" w:hAnsi="Times New Roman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DE6314E-0878-455E-831F-EB1F4EEFECD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195</Words>
  <Characters>1112</Characters>
  <Lines>9</Lines>
  <Paragraphs>2</Paragraphs>
  <TotalTime>15</TotalTime>
  <ScaleCrop>false</ScaleCrop>
  <LinksUpToDate>false</LinksUpToDate>
  <CharactersWithSpaces>1305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2018-12-24T02:45:00Z</dcterms:created>
  <dc:creator>蔡振芳</dc:creator>
  <cp:lastModifiedBy>无忧·1993</cp:lastModifiedBy>
  <dcterms:modified xsi:type="dcterms:W3CDTF">2021-11-04T08:57:30Z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B0A40E1A9EBD48F49802ECC20CB578F9</vt:lpwstr>
  </property>
</Properties>
</file>